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B1" w:rsidRDefault="00314BB1" w:rsidP="00314BB1">
      <w:pPr>
        <w:tabs>
          <w:tab w:val="left" w:pos="1276"/>
        </w:tabs>
        <w:spacing w:line="240" w:lineRule="auto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Decreto Legge</w:t>
      </w:r>
      <w:proofErr w:type="gramEnd"/>
      <w:r>
        <w:rPr>
          <w:rFonts w:cs="Times New Roman"/>
          <w:b/>
          <w:szCs w:val="24"/>
        </w:rPr>
        <w:t xml:space="preserve"> 8 aprile 2020, n. 23.</w:t>
      </w:r>
    </w:p>
    <w:p w:rsidR="00314BB1" w:rsidRDefault="00314BB1" w:rsidP="00314BB1">
      <w:pPr>
        <w:tabs>
          <w:tab w:val="left" w:pos="1276"/>
        </w:tabs>
        <w:spacing w:line="240" w:lineRule="auto"/>
        <w:rPr>
          <w:rFonts w:cs="Times New Roman"/>
          <w:b/>
          <w:szCs w:val="24"/>
        </w:rPr>
      </w:pPr>
      <w:bookmarkStart w:id="0" w:name="_GoBack"/>
      <w:bookmarkEnd w:id="0"/>
    </w:p>
    <w:p w:rsidR="00314BB1" w:rsidRDefault="00314BB1" w:rsidP="00314BB1">
      <w:pPr>
        <w:tabs>
          <w:tab w:val="left" w:pos="1276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Misure urgenti in materia di accesso al credito e di adempimenti fiscali per le imprese, di poteri speciali nei settori strategici, nonché interventi in materia di salute e lavoro, di proroga dei termini amministrativi e processuali.</w:t>
      </w:r>
    </w:p>
    <w:p w:rsidR="00314BB1" w:rsidRDefault="00314BB1" w:rsidP="00314BB1">
      <w:pPr>
        <w:tabs>
          <w:tab w:val="left" w:pos="1276"/>
        </w:tabs>
        <w:spacing w:line="240" w:lineRule="auto"/>
        <w:jc w:val="center"/>
        <w:rPr>
          <w:rFonts w:cs="Times New Roman"/>
          <w:b/>
          <w:szCs w:val="24"/>
        </w:rPr>
      </w:pPr>
    </w:p>
    <w:p w:rsidR="00314BB1" w:rsidRPr="005B1271" w:rsidRDefault="00314BB1" w:rsidP="00314BB1">
      <w:pPr>
        <w:tabs>
          <w:tab w:val="left" w:pos="1276"/>
        </w:tabs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ART.</w:t>
      </w:r>
      <w:r w:rsidRPr="005B1271">
        <w:rPr>
          <w:rFonts w:cs="Times New Roman"/>
          <w:b/>
          <w:szCs w:val="24"/>
        </w:rPr>
        <w:t>14</w:t>
      </w:r>
    </w:p>
    <w:p w:rsidR="00314BB1" w:rsidRPr="005B1271" w:rsidRDefault="00314BB1" w:rsidP="00314BB1">
      <w:pPr>
        <w:pStyle w:val="p3"/>
        <w:jc w:val="both"/>
        <w:rPr>
          <w:rStyle w:val="s1"/>
          <w:color w:val="auto"/>
        </w:rPr>
      </w:pPr>
      <w:r w:rsidRPr="005B1271">
        <w:rPr>
          <w:rStyle w:val="s1"/>
          <w:color w:val="auto"/>
          <w:sz w:val="26"/>
          <w:szCs w:val="26"/>
        </w:rPr>
        <w:t>(</w:t>
      </w:r>
      <w:r w:rsidRPr="0025347F">
        <w:rPr>
          <w:rStyle w:val="s1"/>
          <w:i/>
          <w:color w:val="auto"/>
          <w:sz w:val="26"/>
          <w:szCs w:val="26"/>
        </w:rPr>
        <w:t>Finanziamenti erogati dall’Istituto per il Credito Sportivo per le esigenze di liquidità e concessione di contributi in conto interessi sui finanziamenti</w:t>
      </w:r>
      <w:r w:rsidRPr="005B1271">
        <w:rPr>
          <w:rStyle w:val="s1"/>
          <w:color w:val="auto"/>
          <w:sz w:val="26"/>
          <w:szCs w:val="26"/>
        </w:rPr>
        <w:t>)</w:t>
      </w:r>
    </w:p>
    <w:p w:rsidR="00314BB1" w:rsidRPr="005B1271" w:rsidRDefault="00314BB1" w:rsidP="00314BB1">
      <w:pPr>
        <w:pStyle w:val="li6"/>
        <w:rPr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Style w:val="s5"/>
          <w:color w:val="auto"/>
          <w:sz w:val="26"/>
          <w:szCs w:val="26"/>
        </w:rPr>
        <w:t xml:space="preserve">1. </w:t>
      </w:r>
      <w:r w:rsidRPr="005B1271">
        <w:rPr>
          <w:rStyle w:val="s5"/>
          <w:color w:val="auto"/>
          <w:sz w:val="26"/>
          <w:szCs w:val="26"/>
        </w:rPr>
        <w:t>Il Fondo di cui all’art</w:t>
      </w:r>
      <w:r>
        <w:rPr>
          <w:rStyle w:val="s5"/>
          <w:color w:val="auto"/>
          <w:sz w:val="26"/>
          <w:szCs w:val="26"/>
        </w:rPr>
        <w:t>icolo</w:t>
      </w:r>
      <w:r w:rsidRPr="005B1271">
        <w:rPr>
          <w:rStyle w:val="s5"/>
          <w:color w:val="auto"/>
          <w:sz w:val="26"/>
          <w:szCs w:val="26"/>
        </w:rPr>
        <w:t xml:space="preserve"> 90, comma 12, della legge 27 dicembre 2002, n. 289, può prestare garanzia, fino al 31 dicembre 2020, sui finanziamenti erogati dall’Istituto per il Credito Sportivo o da altro istituto bancario per le esigenze di liquidità delle Federazioni Sportive Nazionali, delle Discipline Sportive Associate, degli Enti di Promozione Sportiva, delle associazioni e delle società sportive dilettantistiche iscritte al registro di cui all’art</w:t>
      </w:r>
      <w:r>
        <w:rPr>
          <w:rStyle w:val="s5"/>
          <w:color w:val="auto"/>
          <w:sz w:val="26"/>
          <w:szCs w:val="26"/>
        </w:rPr>
        <w:t>icolo</w:t>
      </w:r>
      <w:r w:rsidRPr="005B1271">
        <w:rPr>
          <w:rStyle w:val="s5"/>
          <w:color w:val="auto"/>
          <w:sz w:val="26"/>
          <w:szCs w:val="26"/>
        </w:rPr>
        <w:t xml:space="preserve"> 5, comma 2, lettera c), del d.lgs. 23 luglio 1999 n. 242. A tali fini, è costituito un apposito comparto del </w:t>
      </w:r>
      <w:proofErr w:type="gramStart"/>
      <w:r w:rsidRPr="005B1271">
        <w:rPr>
          <w:rStyle w:val="s5"/>
          <w:color w:val="auto"/>
          <w:sz w:val="26"/>
          <w:szCs w:val="26"/>
        </w:rPr>
        <w:t>predetto</w:t>
      </w:r>
      <w:proofErr w:type="gramEnd"/>
      <w:r w:rsidRPr="005B1271">
        <w:rPr>
          <w:rStyle w:val="s5"/>
          <w:color w:val="auto"/>
          <w:sz w:val="26"/>
          <w:szCs w:val="26"/>
        </w:rPr>
        <w:t xml:space="preserve"> Fondo con una dotazione di 30 milioni di euro per l’anno 2020. </w:t>
      </w:r>
      <w:r w:rsidRPr="005B1271">
        <w:rPr>
          <w:color w:val="auto"/>
          <w:sz w:val="26"/>
          <w:szCs w:val="26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Per la gestione di tale comparto del fondo è autorizzata l’apertura di un conto corrente di tesoreria centrale intestato all’Istituto per il Credito Sportivo su cui sono versate le </w:t>
      </w:r>
      <w:proofErr w:type="gramStart"/>
      <w:r w:rsidRPr="005B1271">
        <w:rPr>
          <w:color w:val="auto"/>
          <w:sz w:val="26"/>
          <w:szCs w:val="26"/>
          <w14:textOutline w14:w="12700" w14:cap="flat" w14:cmpd="sng" w14:algn="ctr">
            <w14:noFill/>
            <w14:prstDash w14:val="solid"/>
            <w14:miter w14:lim="100000"/>
          </w14:textOutline>
        </w:rPr>
        <w:t>predette</w:t>
      </w:r>
      <w:proofErr w:type="gramEnd"/>
      <w:r w:rsidRPr="005B1271">
        <w:rPr>
          <w:color w:val="auto"/>
          <w:sz w:val="26"/>
          <w:szCs w:val="26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risorse </w:t>
      </w:r>
      <w:r w:rsidRPr="005B1271">
        <w:rPr>
          <w:color w:val="auto"/>
          <w:sz w:val="26"/>
          <w:szCs w:val="26"/>
        </w:rPr>
        <w:t>per essere utilizzate in base al fabbisogno finanziario derivante dalla gestione delle garanzie.</w:t>
      </w:r>
    </w:p>
    <w:p w:rsidR="00314BB1" w:rsidRPr="005B1271" w:rsidRDefault="00314BB1" w:rsidP="00314BB1">
      <w:pPr>
        <w:pStyle w:val="li6"/>
        <w:rPr>
          <w:rStyle w:val="s5"/>
          <w:color w:val="auto"/>
          <w:sz w:val="26"/>
          <w:szCs w:val="26"/>
        </w:rPr>
      </w:pPr>
      <w:r w:rsidRPr="005B1271">
        <w:rPr>
          <w:rStyle w:val="s5"/>
          <w:color w:val="auto"/>
          <w:sz w:val="26"/>
          <w:szCs w:val="26"/>
        </w:rPr>
        <w:t>2. Il Fondo speciale di cui all’articolo 5</w:t>
      </w:r>
      <w:r>
        <w:rPr>
          <w:rStyle w:val="s5"/>
          <w:color w:val="auto"/>
          <w:sz w:val="26"/>
          <w:szCs w:val="26"/>
        </w:rPr>
        <w:t>,</w:t>
      </w:r>
      <w:r w:rsidRPr="005B1271">
        <w:rPr>
          <w:rStyle w:val="s5"/>
          <w:color w:val="auto"/>
          <w:sz w:val="26"/>
          <w:szCs w:val="26"/>
        </w:rPr>
        <w:t xml:space="preserve"> comma 1,</w:t>
      </w:r>
      <w:r>
        <w:rPr>
          <w:rStyle w:val="s5"/>
          <w:color w:val="auto"/>
          <w:sz w:val="26"/>
          <w:szCs w:val="26"/>
        </w:rPr>
        <w:t xml:space="preserve"> </w:t>
      </w:r>
      <w:r w:rsidRPr="005B1271">
        <w:rPr>
          <w:rStyle w:val="s5"/>
          <w:color w:val="auto"/>
          <w:sz w:val="26"/>
          <w:szCs w:val="26"/>
        </w:rPr>
        <w:t>della legge 24 dicembre 1957, n. 1295, può concedere contributi in conto interessi, fino al 31 dicembre 2020, sui finanziamenti erogati dall’Istituto per il Credito Sportivo o da altro istituto bancario per le esigenze di liquidità delle Federazioni Sportive Nazionali, delle Discipline Sportive Associate, degli Enti di Promozione Sportiva, delle associazioni e delle società sportive dilettantistiche iscritte nel registro di cui all’art</w:t>
      </w:r>
      <w:r>
        <w:rPr>
          <w:rStyle w:val="s5"/>
          <w:color w:val="auto"/>
          <w:sz w:val="26"/>
          <w:szCs w:val="26"/>
        </w:rPr>
        <w:t>icolo</w:t>
      </w:r>
      <w:r w:rsidRPr="005B1271">
        <w:rPr>
          <w:rStyle w:val="s5"/>
          <w:color w:val="auto"/>
          <w:sz w:val="26"/>
          <w:szCs w:val="26"/>
        </w:rPr>
        <w:t xml:space="preserve"> 5, comma 2, lettera c), del d.lgs. 23 luglio 1999 n. 242, secondo le modalità stabilite dal Comitato di Gestione dei Fondi Speciali dell’Istituto per il Credito Sportivo. Per tale funzione è costituito un apposito comparto del Fondo dotato di 5 milioni di euro per l’anno 2020. </w:t>
      </w:r>
    </w:p>
    <w:p w:rsidR="00314BB1" w:rsidRPr="005B1271" w:rsidRDefault="00314BB1" w:rsidP="00314BB1">
      <w:pPr>
        <w:pStyle w:val="li6"/>
        <w:rPr>
          <w:rStyle w:val="s5"/>
          <w:sz w:val="26"/>
          <w:szCs w:val="26"/>
        </w:rPr>
      </w:pPr>
      <w:r w:rsidRPr="005B1271">
        <w:rPr>
          <w:rStyle w:val="s5"/>
          <w:color w:val="auto"/>
          <w:sz w:val="26"/>
          <w:szCs w:val="26"/>
        </w:rPr>
        <w:t xml:space="preserve">3. Agli oneri derivanti dal presente articolo pari a 35 milioni di euro per l’anno 2020, si provvede </w:t>
      </w:r>
      <w:r w:rsidRPr="005B1271">
        <w:rPr>
          <w:rStyle w:val="s5"/>
          <w:sz w:val="26"/>
          <w:szCs w:val="26"/>
        </w:rPr>
        <w:t xml:space="preserve">mediante corrispondente riduzione delle somme di cui all’articolo 56, comma 6, decreto-legge 17 marzo 2020, n. 18, e a 5 milioni di euro per l’anno 2020, </w:t>
      </w:r>
      <w:r>
        <w:rPr>
          <w:rStyle w:val="s5"/>
          <w:sz w:val="26"/>
          <w:szCs w:val="26"/>
        </w:rPr>
        <w:t>in soli termini di fabbisogno, </w:t>
      </w:r>
      <w:r w:rsidRPr="005B1271">
        <w:rPr>
          <w:rStyle w:val="s5"/>
          <w:sz w:val="26"/>
          <w:szCs w:val="26"/>
        </w:rPr>
        <w:t>mediante utilizzo delle risorse di cui all’articolo 13, comma 12.</w:t>
      </w:r>
    </w:p>
    <w:p w:rsidR="00427340" w:rsidRDefault="00427340"/>
    <w:sectPr w:rsidR="00427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B1"/>
    <w:rsid w:val="00314BB1"/>
    <w:rsid w:val="004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3FE"/>
  <w15:chartTrackingRefBased/>
  <w15:docId w15:val="{2D21AF82-E211-4257-B2F7-C8BD8F3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BB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3">
    <w:name w:val="p3"/>
    <w:basedOn w:val="Normale"/>
    <w:rsid w:val="00314BB1"/>
    <w:pPr>
      <w:spacing w:after="90" w:line="240" w:lineRule="auto"/>
      <w:jc w:val="left"/>
    </w:pPr>
    <w:rPr>
      <w:rFonts w:eastAsiaTheme="minorEastAsia" w:cs="Times New Roman"/>
      <w:color w:val="000000"/>
      <w:sz w:val="18"/>
      <w:szCs w:val="18"/>
      <w:lang w:eastAsia="it-IT"/>
    </w:rPr>
  </w:style>
  <w:style w:type="character" w:customStyle="1" w:styleId="s1">
    <w:name w:val="s1"/>
    <w:basedOn w:val="Carpredefinitoparagrafo"/>
    <w:rsid w:val="00314BB1"/>
    <w:rPr>
      <w:rFonts w:ascii="TimesNewRomanPS-BoldMT" w:hAnsi="TimesNewRomanPS-BoldMT" w:hint="default"/>
      <w:b/>
      <w:bCs/>
      <w:i w:val="0"/>
      <w:iCs w:val="0"/>
      <w:sz w:val="18"/>
      <w:szCs w:val="18"/>
    </w:rPr>
  </w:style>
  <w:style w:type="character" w:customStyle="1" w:styleId="s5">
    <w:name w:val="s5"/>
    <w:basedOn w:val="Carpredefinitoparagrafo"/>
    <w:rsid w:val="00314BB1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paragraph" w:customStyle="1" w:styleId="li6">
    <w:name w:val="li6"/>
    <w:basedOn w:val="Normale"/>
    <w:rsid w:val="00314BB1"/>
    <w:pPr>
      <w:spacing w:after="120" w:line="240" w:lineRule="auto"/>
    </w:pPr>
    <w:rPr>
      <w:rFonts w:eastAsiaTheme="minorEastAsia" w:cs="Times New Roman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Gugliotta</dc:creator>
  <cp:keywords/>
  <dc:description/>
  <cp:lastModifiedBy>Eduardo Gugliotta</cp:lastModifiedBy>
  <cp:revision>1</cp:revision>
  <dcterms:created xsi:type="dcterms:W3CDTF">2020-04-21T20:43:00Z</dcterms:created>
  <dcterms:modified xsi:type="dcterms:W3CDTF">2020-04-21T20:47:00Z</dcterms:modified>
</cp:coreProperties>
</file>